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E9" w:rsidRPr="00865C55" w:rsidRDefault="006F22E9" w:rsidP="006F22E9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6E7587" wp14:editId="329F808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2E9" w:rsidRPr="003C5141" w:rsidRDefault="006F22E9" w:rsidP="006F22E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6F22E9" w:rsidRPr="003C5141" w:rsidRDefault="006F22E9" w:rsidP="006F22E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C1295A2" wp14:editId="6003327A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E9" w:rsidRPr="00865C55" w:rsidRDefault="006F22E9" w:rsidP="006F22E9">
      <w:pPr>
        <w:ind w:right="-2"/>
        <w:jc w:val="center"/>
        <w:rPr>
          <w:rFonts w:ascii="PT Astra Serif" w:eastAsia="Calibri" w:hAnsi="PT Astra Serif"/>
        </w:rPr>
      </w:pPr>
    </w:p>
    <w:p w:rsidR="006F22E9" w:rsidRPr="00865C55" w:rsidRDefault="006F22E9" w:rsidP="006F22E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6F22E9" w:rsidRPr="00865C55" w:rsidRDefault="006F22E9" w:rsidP="006F22E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6F22E9" w:rsidRPr="00865C55" w:rsidRDefault="006F22E9" w:rsidP="006F22E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6F22E9" w:rsidRPr="00865C55" w:rsidRDefault="006F22E9" w:rsidP="006F22E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6F22E9" w:rsidRPr="00F200B4" w:rsidRDefault="006F22E9" w:rsidP="006F22E9">
      <w:pPr>
        <w:rPr>
          <w:rFonts w:ascii="PT Astra Serif" w:hAnsi="PT Astra Serif"/>
          <w:sz w:val="28"/>
          <w:szCs w:val="26"/>
        </w:rPr>
      </w:pPr>
    </w:p>
    <w:p w:rsidR="006F22E9" w:rsidRPr="000C386C" w:rsidRDefault="006F22E9" w:rsidP="006F22E9">
      <w:pPr>
        <w:rPr>
          <w:rFonts w:ascii="PT Astra Serif" w:hAnsi="PT Astra Serif"/>
          <w:sz w:val="28"/>
          <w:szCs w:val="28"/>
        </w:rPr>
      </w:pPr>
    </w:p>
    <w:tbl>
      <w:tblPr>
        <w:tblStyle w:val="18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6F22E9" w:rsidRPr="00744C34" w:rsidTr="00CB1122">
        <w:trPr>
          <w:trHeight w:val="227"/>
        </w:trPr>
        <w:tc>
          <w:tcPr>
            <w:tcW w:w="2563" w:type="pct"/>
          </w:tcPr>
          <w:p w:rsidR="006F22E9" w:rsidRPr="00744C34" w:rsidRDefault="006F22E9" w:rsidP="004352C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4352CA">
              <w:rPr>
                <w:rFonts w:ascii="PT Astra Serif" w:hAnsi="PT Astra Serif"/>
                <w:sz w:val="28"/>
                <w:szCs w:val="26"/>
              </w:rPr>
              <w:t>13.12.2024</w:t>
            </w:r>
          </w:p>
        </w:tc>
        <w:tc>
          <w:tcPr>
            <w:tcW w:w="2437" w:type="pct"/>
          </w:tcPr>
          <w:p w:rsidR="006F22E9" w:rsidRPr="00744C34" w:rsidRDefault="006F22E9" w:rsidP="004352C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4352CA">
              <w:rPr>
                <w:rFonts w:ascii="PT Astra Serif" w:hAnsi="PT Astra Serif"/>
                <w:sz w:val="28"/>
                <w:szCs w:val="26"/>
              </w:rPr>
              <w:t>2130-п</w:t>
            </w:r>
          </w:p>
        </w:tc>
      </w:tr>
    </w:tbl>
    <w:p w:rsidR="002C6C13" w:rsidRPr="006F22E9" w:rsidRDefault="002C6C13" w:rsidP="006F22E9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2C6C13" w:rsidRPr="006F22E9" w:rsidRDefault="002C6C13" w:rsidP="006F22E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22E9" w:rsidRPr="006F22E9" w:rsidRDefault="006F22E9" w:rsidP="006F22E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F5A94" w:rsidRPr="006F22E9" w:rsidRDefault="00F5176F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6F22E9">
        <w:rPr>
          <w:rFonts w:ascii="PT Astra Serif" w:hAnsi="PT Astra Serif"/>
          <w:sz w:val="28"/>
          <w:szCs w:val="28"/>
          <w:lang w:eastAsia="ru-RU"/>
        </w:rPr>
        <w:t xml:space="preserve">О муниципальной программе </w:t>
      </w:r>
    </w:p>
    <w:p w:rsidR="008F5A94" w:rsidRPr="006F22E9" w:rsidRDefault="00F5176F" w:rsidP="006F22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22E9">
        <w:rPr>
          <w:rFonts w:ascii="PT Astra Serif" w:hAnsi="PT Astra Serif"/>
          <w:sz w:val="28"/>
          <w:szCs w:val="28"/>
          <w:lang w:eastAsia="ru-RU"/>
        </w:rPr>
        <w:t>города Югорска «</w:t>
      </w:r>
      <w:proofErr w:type="gramStart"/>
      <w:r w:rsidR="008F5A94" w:rsidRPr="006F22E9">
        <w:rPr>
          <w:rFonts w:ascii="PT Astra Serif" w:hAnsi="PT Astra Serif"/>
          <w:sz w:val="28"/>
          <w:szCs w:val="28"/>
        </w:rPr>
        <w:t>Государственная</w:t>
      </w:r>
      <w:proofErr w:type="gramEnd"/>
      <w:r w:rsidR="008F5A94" w:rsidRPr="006F22E9">
        <w:rPr>
          <w:rFonts w:ascii="PT Astra Serif" w:hAnsi="PT Astra Serif"/>
          <w:sz w:val="28"/>
          <w:szCs w:val="28"/>
        </w:rPr>
        <w:t xml:space="preserve"> </w:t>
      </w:r>
    </w:p>
    <w:p w:rsidR="008F5A94" w:rsidRPr="006F22E9" w:rsidRDefault="008F5A94" w:rsidP="006F22E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F22E9">
        <w:rPr>
          <w:rFonts w:ascii="PT Astra Serif" w:hAnsi="PT Astra Serif"/>
          <w:sz w:val="28"/>
          <w:szCs w:val="28"/>
        </w:rPr>
        <w:t xml:space="preserve">национальная политика и </w:t>
      </w:r>
    </w:p>
    <w:p w:rsidR="00F5176F" w:rsidRPr="006F22E9" w:rsidRDefault="008F5A94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6F22E9">
        <w:rPr>
          <w:rFonts w:ascii="PT Astra Serif" w:hAnsi="PT Astra Serif"/>
          <w:sz w:val="28"/>
          <w:szCs w:val="28"/>
        </w:rPr>
        <w:t>профилактика экстремизма</w:t>
      </w:r>
      <w:r w:rsidR="00F5176F" w:rsidRPr="006F22E9">
        <w:rPr>
          <w:rFonts w:ascii="PT Astra Serif" w:hAnsi="PT Astra Serif"/>
          <w:sz w:val="28"/>
          <w:szCs w:val="28"/>
          <w:lang w:eastAsia="ru-RU"/>
        </w:rPr>
        <w:t>»</w:t>
      </w:r>
    </w:p>
    <w:p w:rsidR="00F5176F" w:rsidRPr="006F22E9" w:rsidRDefault="00F5176F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0E6" w:rsidRPr="006F22E9" w:rsidRDefault="00CE20E6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0E6" w:rsidRPr="006F22E9" w:rsidRDefault="00CE20E6" w:rsidP="006F22E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6F22E9" w:rsidRDefault="008F5A94" w:rsidP="006F22E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F22E9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hyperlink r:id="rId10" w:history="1">
        <w:r w:rsidR="004C1722" w:rsidRPr="006F22E9">
          <w:rPr>
            <w:rFonts w:ascii="PT Astra Serif" w:hAnsi="PT Astra Serif"/>
            <w:sz w:val="28"/>
            <w:szCs w:val="28"/>
            <w:lang w:eastAsia="ru-RU"/>
          </w:rPr>
          <w:t>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</w:t>
        </w:r>
      </w:hyperlink>
      <w:r w:rsidR="004C1722" w:rsidRPr="006F22E9">
        <w:rPr>
          <w:rFonts w:ascii="PT Astra Serif" w:hAnsi="PT Astra Serif"/>
          <w:sz w:val="28"/>
          <w:szCs w:val="28"/>
          <w:lang w:eastAsia="ru-RU"/>
        </w:rPr>
        <w:t xml:space="preserve">», </w:t>
      </w:r>
      <w:r w:rsidRPr="006F22E9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</w:t>
      </w:r>
      <w:r w:rsidR="006F22E9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proofErr w:type="gramStart"/>
      <w:r w:rsidRPr="006F22E9">
        <w:rPr>
          <w:rFonts w:ascii="PT Astra Serif" w:hAnsi="PT Astra Serif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="006F22E9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6F22E9">
        <w:rPr>
          <w:rFonts w:ascii="PT Astra Serif" w:hAnsi="PT Astra Serif"/>
          <w:sz w:val="28"/>
          <w:szCs w:val="28"/>
          <w:lang w:eastAsia="ru-RU"/>
        </w:rPr>
        <w:t xml:space="preserve">в Российской Федерации», </w:t>
      </w:r>
      <w:r w:rsidR="00CD0985" w:rsidRPr="006F22E9">
        <w:rPr>
          <w:rFonts w:ascii="PT Astra Serif" w:hAnsi="PT Astra Serif"/>
          <w:sz w:val="28"/>
          <w:szCs w:val="28"/>
          <w:lang w:eastAsia="ru-RU"/>
        </w:rPr>
        <w:t>постановлением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 города 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Югорска 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>от</w:t>
      </w:r>
      <w:r w:rsidR="00921821" w:rsidRPr="006F22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 xml:space="preserve"> 16.08.2024 № 1373-п «О порядке принятия решения</w:t>
      </w:r>
      <w:r w:rsidR="006F22E9"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="002B33A5" w:rsidRPr="006F22E9">
        <w:rPr>
          <w:rFonts w:ascii="PT Astra Serif" w:hAnsi="PT Astra Serif"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реализации», распоряжением администрации города Югорска от 11.10.2024 № 486-р «О перечне муниципальных программ города Югорска»</w:t>
      </w:r>
      <w:r w:rsidR="00016C72" w:rsidRPr="006F22E9">
        <w:rPr>
          <w:rFonts w:ascii="PT Astra Serif" w:hAnsi="PT Astra Serif"/>
          <w:sz w:val="28"/>
          <w:szCs w:val="28"/>
          <w:lang w:eastAsia="ru-RU"/>
        </w:rPr>
        <w:t>,</w:t>
      </w:r>
      <w:r w:rsidR="001C7339" w:rsidRPr="006F22E9">
        <w:rPr>
          <w:rFonts w:ascii="PT Astra Serif" w:hAnsi="PT Astra Serif"/>
          <w:sz w:val="28"/>
          <w:szCs w:val="28"/>
          <w:lang w:eastAsia="ru-RU"/>
        </w:rPr>
        <w:t xml:space="preserve"> в целях совершенствования структуры муниципальных программ города Югорска:</w:t>
      </w:r>
      <w:proofErr w:type="gramEnd"/>
    </w:p>
    <w:p w:rsidR="002B33A5" w:rsidRPr="006F22E9" w:rsidRDefault="0078162C" w:rsidP="0078162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016C72" w:rsidRPr="006F22E9">
        <w:rPr>
          <w:rFonts w:ascii="PT Astra Serif" w:hAnsi="PT Astra Serif"/>
          <w:sz w:val="28"/>
          <w:szCs w:val="28"/>
          <w:lang w:eastAsia="ru-RU"/>
        </w:rPr>
        <w:t>Утвердить муниципальную программу города Югорска «Государственная национальная политика и профилактика экстремизма» (приложение).</w:t>
      </w:r>
    </w:p>
    <w:p w:rsidR="001C7339" w:rsidRPr="006F22E9" w:rsidRDefault="0078162C" w:rsidP="0078162C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="001C7339" w:rsidRPr="006F22E9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C7339" w:rsidRPr="006F22E9" w:rsidRDefault="0078162C" w:rsidP="0078162C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3. </w:t>
      </w:r>
      <w:r w:rsidR="001C7339" w:rsidRPr="006F22E9">
        <w:rPr>
          <w:rFonts w:ascii="PT Astra Serif" w:hAnsi="PT Astra Serif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опубликования, но не ранее 01.01.2025.</w:t>
      </w:r>
    </w:p>
    <w:p w:rsidR="002B33A5" w:rsidRPr="006F22E9" w:rsidRDefault="0078162C" w:rsidP="0078162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4. </w:t>
      </w:r>
      <w:proofErr w:type="gramStart"/>
      <w:r w:rsidR="00016C72" w:rsidRPr="006F22E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016C72" w:rsidRPr="006F22E9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заместителя главы города Югорска Шибанова А.Н.</w:t>
      </w:r>
    </w:p>
    <w:p w:rsidR="006F22E9" w:rsidRPr="0078162C" w:rsidRDefault="006F22E9" w:rsidP="006F22E9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6F22E9" w:rsidRDefault="006F22E9" w:rsidP="006F22E9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F22E9" w:rsidRDefault="006F22E9" w:rsidP="006F22E9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6F22E9" w:rsidRPr="00D920B8" w:rsidTr="00CB1122">
        <w:trPr>
          <w:trHeight w:val="1443"/>
        </w:trPr>
        <w:tc>
          <w:tcPr>
            <w:tcW w:w="1902" w:type="pct"/>
          </w:tcPr>
          <w:p w:rsidR="006F22E9" w:rsidRPr="00D920B8" w:rsidRDefault="006F22E9" w:rsidP="00CB112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6F22E9" w:rsidRPr="00D920B8" w:rsidRDefault="006F22E9" w:rsidP="00CB112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6F22E9" w:rsidRPr="00D920B8" w:rsidRDefault="006F22E9" w:rsidP="00CB112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F5176F" w:rsidRPr="00556D32" w:rsidRDefault="00F5176F" w:rsidP="00F5176F">
      <w:pPr>
        <w:jc w:val="both"/>
        <w:rPr>
          <w:rFonts w:ascii="PT Astra Serif" w:hAnsi="PT Astra Serif"/>
          <w:sz w:val="24"/>
          <w:szCs w:val="24"/>
        </w:rPr>
        <w:sectPr w:rsidR="00F5176F" w:rsidRPr="00556D32" w:rsidSect="006F22E9">
          <w:headerReference w:type="default" r:id="rId11"/>
          <w:headerReference w:type="first" r:id="rId12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6F22E9" w:rsidRPr="004846DC" w:rsidRDefault="006F22E9" w:rsidP="006F22E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6F22E9" w:rsidRPr="004846DC" w:rsidRDefault="006F22E9" w:rsidP="006F22E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6F22E9" w:rsidRDefault="006F22E9" w:rsidP="006F22E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6F22E9" w:rsidRPr="004846DC" w:rsidRDefault="006F22E9" w:rsidP="006F22E9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E1D3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от </w:t>
      </w:r>
      <w:r w:rsidR="004352C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13.12.2024</w:t>
      </w:r>
      <w:r w:rsidRPr="007E1D3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</w:t>
      </w:r>
      <w:r w:rsidR="004352C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21</w:t>
      </w:r>
      <w:bookmarkStart w:id="0" w:name="_GoBack"/>
      <w:bookmarkEnd w:id="0"/>
      <w:r w:rsidR="004352C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30-п</w:t>
      </w:r>
    </w:p>
    <w:p w:rsidR="00556D32" w:rsidRPr="00556D32" w:rsidRDefault="00556D32" w:rsidP="00556D3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</w:p>
    <w:p w:rsidR="00556D32" w:rsidRPr="00556D32" w:rsidRDefault="00556D32" w:rsidP="00556D32">
      <w:pPr>
        <w:pStyle w:val="1"/>
        <w:spacing w:before="0" w:after="0" w:line="276" w:lineRule="auto"/>
        <w:jc w:val="center"/>
        <w:rPr>
          <w:rFonts w:ascii="PT Astra Serif" w:hAnsi="PT Astra Serif"/>
          <w:b w:val="0"/>
          <w:sz w:val="28"/>
          <w:szCs w:val="28"/>
        </w:rPr>
      </w:pPr>
    </w:p>
    <w:p w:rsidR="00016C72" w:rsidRPr="00556D32" w:rsidRDefault="00F6436D" w:rsidP="00556D32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Муниципальная</w:t>
      </w:r>
      <w:r w:rsidR="00016C72" w:rsidRPr="00556D32">
        <w:rPr>
          <w:rFonts w:ascii="PT Astra Serif" w:hAnsi="PT Astra Serif"/>
          <w:b w:val="0"/>
          <w:sz w:val="28"/>
          <w:szCs w:val="28"/>
        </w:rPr>
        <w:t xml:space="preserve"> программ</w:t>
      </w:r>
      <w:r>
        <w:rPr>
          <w:rFonts w:ascii="PT Astra Serif" w:hAnsi="PT Astra Serif"/>
          <w:b w:val="0"/>
          <w:sz w:val="28"/>
          <w:szCs w:val="28"/>
        </w:rPr>
        <w:t>а</w:t>
      </w:r>
      <w:r w:rsidR="00016C72" w:rsidRPr="00556D32">
        <w:rPr>
          <w:rFonts w:ascii="PT Astra Serif" w:hAnsi="PT Astra Serif"/>
          <w:b w:val="0"/>
          <w:sz w:val="28"/>
          <w:szCs w:val="28"/>
        </w:rPr>
        <w:t xml:space="preserve"> города Югорска</w:t>
      </w:r>
    </w:p>
    <w:p w:rsidR="00016C72" w:rsidRPr="00556D32" w:rsidRDefault="00016C72" w:rsidP="00556D32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>«</w:t>
      </w:r>
      <w:r w:rsidRPr="00556D32">
        <w:rPr>
          <w:rFonts w:ascii="PT Astra Serif" w:hAnsi="PT Astra Serif"/>
          <w:b w:val="0"/>
          <w:sz w:val="28"/>
          <w:szCs w:val="28"/>
        </w:rPr>
        <w:t>Государственная национальная политика и профилактика экстремизма»</w:t>
      </w:r>
    </w:p>
    <w:p w:rsidR="001617B0" w:rsidRDefault="00016C72" w:rsidP="001617B0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 w:rsidRPr="001617B0">
        <w:rPr>
          <w:rFonts w:ascii="PT Astra Serif" w:hAnsi="PT Astra Serif"/>
          <w:b w:val="0"/>
          <w:sz w:val="28"/>
          <w:szCs w:val="28"/>
        </w:rPr>
        <w:t xml:space="preserve">(далее </w:t>
      </w:r>
      <w:r w:rsidR="001617B0" w:rsidRPr="001617B0">
        <w:rPr>
          <w:rFonts w:ascii="PT Astra Serif" w:hAnsi="PT Astra Serif"/>
          <w:b w:val="0"/>
          <w:sz w:val="28"/>
          <w:szCs w:val="28"/>
        </w:rPr>
        <w:t xml:space="preserve">- </w:t>
      </w:r>
      <w:r w:rsidRPr="001617B0">
        <w:rPr>
          <w:rFonts w:ascii="PT Astra Serif" w:hAnsi="PT Astra Serif"/>
          <w:b w:val="0"/>
          <w:sz w:val="28"/>
          <w:szCs w:val="28"/>
        </w:rPr>
        <w:t>муниципальная программа</w:t>
      </w:r>
      <w:r w:rsidR="001617B0" w:rsidRPr="001617B0">
        <w:rPr>
          <w:rFonts w:ascii="PT Astra Serif" w:hAnsi="PT Astra Serif"/>
          <w:b w:val="0"/>
          <w:sz w:val="28"/>
          <w:szCs w:val="28"/>
        </w:rPr>
        <w:t>)</w:t>
      </w:r>
    </w:p>
    <w:p w:rsidR="001617B0" w:rsidRPr="001617B0" w:rsidRDefault="001617B0" w:rsidP="001617B0"/>
    <w:p w:rsidR="001617B0" w:rsidRPr="00556D32" w:rsidRDefault="001617B0" w:rsidP="001617B0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sz w:val="28"/>
          <w:szCs w:val="28"/>
        </w:rPr>
        <w:t>Паспорт</w:t>
      </w:r>
      <w:r>
        <w:rPr>
          <w:rFonts w:ascii="PT Astra Serif" w:hAnsi="PT Astra Serif"/>
          <w:b w:val="0"/>
          <w:sz w:val="28"/>
          <w:szCs w:val="28"/>
        </w:rPr>
        <w:t xml:space="preserve"> муниципальной программы</w:t>
      </w:r>
    </w:p>
    <w:p w:rsidR="00016C72" w:rsidRPr="00556D32" w:rsidRDefault="00016C72" w:rsidP="00556D32">
      <w:pPr>
        <w:jc w:val="center"/>
        <w:rPr>
          <w:rFonts w:ascii="PT Astra Serif" w:hAnsi="PT Astra Serif"/>
          <w:sz w:val="28"/>
          <w:szCs w:val="28"/>
        </w:rPr>
      </w:pPr>
    </w:p>
    <w:p w:rsidR="00016C72" w:rsidRPr="00556D32" w:rsidRDefault="00016C72" w:rsidP="007D383A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  <w:bookmarkStart w:id="1" w:name="sub_100"/>
      <w:r w:rsidRPr="00556D32">
        <w:rPr>
          <w:rFonts w:ascii="PT Astra Serif" w:hAnsi="PT Astra Serif"/>
          <w:b w:val="0"/>
          <w:sz w:val="28"/>
          <w:szCs w:val="28"/>
        </w:rPr>
        <w:t>1. Основные положения</w:t>
      </w:r>
    </w:p>
    <w:bookmarkEnd w:id="1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8487"/>
      </w:tblGrid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Шибанов Алексей Николаевич, заместитель главы города Югорска</w:t>
            </w:r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Управление внутренней политики и массовых коммуникаций администрации города Югорска (далее -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2025 – 2030</w:t>
            </w:r>
          </w:p>
        </w:tc>
      </w:tr>
      <w:tr w:rsidR="00016C72" w:rsidRPr="006F22E9" w:rsidTr="0078162C">
        <w:trPr>
          <w:trHeight w:val="637"/>
        </w:trPr>
        <w:tc>
          <w:tcPr>
            <w:tcW w:w="213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Цел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>ь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 муниципальной программы</w:t>
            </w:r>
          </w:p>
          <w:p w:rsidR="00016C72" w:rsidRPr="006F22E9" w:rsidRDefault="00016C72" w:rsidP="007D122E">
            <w:pPr>
              <w:rPr>
                <w:rFonts w:ascii="PT Astra Serif" w:hAnsi="PT Astra Serif"/>
                <w:highlight w:val="yellow"/>
                <w:lang w:val="en-US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Укрепление единства многонационального народа Российской Федерации, профилактика экстремизма</w:t>
            </w:r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C72" w:rsidRPr="006F22E9" w:rsidRDefault="00016C72" w:rsidP="00556D32">
            <w:pPr>
              <w:pStyle w:val="ad"/>
              <w:rPr>
                <w:rFonts w:ascii="PT Astra Serif" w:hAnsi="PT Astra Serif"/>
                <w:i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810,0 тыс. рублей</w:t>
            </w:r>
          </w:p>
        </w:tc>
      </w:tr>
      <w:tr w:rsidR="00016C72" w:rsidRPr="006F22E9" w:rsidTr="0078162C">
        <w:tc>
          <w:tcPr>
            <w:tcW w:w="2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Связь с национальными целями развития Российской Федерации / государственными программами Ханты-Мансийского автономного округа-Югры</w:t>
            </w:r>
          </w:p>
          <w:p w:rsidR="00016C72" w:rsidRPr="006F22E9" w:rsidRDefault="00016C72" w:rsidP="007D122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C72" w:rsidRPr="006F22E9" w:rsidRDefault="00016C72" w:rsidP="007D122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016C72" w:rsidRPr="006F22E9" w:rsidRDefault="00016C72" w:rsidP="007D122E">
            <w:pPr>
              <w:pStyle w:val="s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Показатель «Создание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  <w:r w:rsidRPr="006F22E9">
              <w:rPr>
                <w:rFonts w:ascii="PT Astra Serif" w:hAnsi="PT Astra Serif"/>
                <w:i/>
                <w:sz w:val="20"/>
                <w:szCs w:val="20"/>
              </w:rPr>
              <w:t>.</w:t>
            </w:r>
          </w:p>
          <w:p w:rsidR="00016C72" w:rsidRPr="006F22E9" w:rsidRDefault="00016C72" w:rsidP="007D122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автономного округа – Югры «Государственная национальная политика и профилактика экстремизма»</w:t>
            </w:r>
          </w:p>
        </w:tc>
      </w:tr>
    </w:tbl>
    <w:p w:rsidR="00016C72" w:rsidRPr="00556D32" w:rsidRDefault="00016C72" w:rsidP="007D383A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  <w:bookmarkStart w:id="2" w:name="sub_200"/>
      <w:r w:rsidRPr="00556D32">
        <w:rPr>
          <w:rFonts w:ascii="PT Astra Serif" w:hAnsi="PT Astra Serif"/>
          <w:b w:val="0"/>
          <w:sz w:val="28"/>
          <w:szCs w:val="28"/>
        </w:rPr>
        <w:lastRenderedPageBreak/>
        <w:t>2. Показатели муниципальной программы</w:t>
      </w:r>
    </w:p>
    <w:bookmarkEnd w:id="2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818"/>
        <w:gridCol w:w="167"/>
        <w:gridCol w:w="981"/>
        <w:gridCol w:w="150"/>
        <w:gridCol w:w="951"/>
        <w:gridCol w:w="983"/>
        <w:gridCol w:w="582"/>
        <w:gridCol w:w="845"/>
        <w:gridCol w:w="616"/>
        <w:gridCol w:w="673"/>
        <w:gridCol w:w="713"/>
        <w:gridCol w:w="713"/>
        <w:gridCol w:w="713"/>
        <w:gridCol w:w="1242"/>
        <w:gridCol w:w="1535"/>
        <w:gridCol w:w="1618"/>
      </w:tblGrid>
      <w:tr w:rsidR="00016C72" w:rsidRPr="006F22E9" w:rsidTr="0078162C">
        <w:trPr>
          <w:tblHeader/>
        </w:trPr>
        <w:tc>
          <w:tcPr>
            <w:tcW w:w="1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№</w:t>
            </w:r>
            <w:r w:rsidRPr="006F22E9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>/п</w:t>
            </w:r>
          </w:p>
          <w:p w:rsidR="00016C72" w:rsidRPr="006F22E9" w:rsidRDefault="00016C72" w:rsidP="007D122E">
            <w:pPr>
              <w:rPr>
                <w:rFonts w:ascii="PT Astra Serif" w:hAnsi="PT Astra Serif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922BE1">
                <w:rPr>
                  <w:rStyle w:val="a8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6F22E9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1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016C72" w:rsidRPr="006F22E9" w:rsidTr="0078162C">
        <w:trPr>
          <w:tblHeader/>
        </w:trPr>
        <w:tc>
          <w:tcPr>
            <w:tcW w:w="1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16C72" w:rsidRPr="006F22E9" w:rsidTr="0078162C">
        <w:trPr>
          <w:tblHeader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7</w:t>
            </w:r>
          </w:p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16C72" w:rsidRPr="006F22E9" w:rsidTr="0078162C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16C72" w:rsidRPr="006F22E9" w:rsidRDefault="00016C72" w:rsidP="003D4125">
            <w:pPr>
              <w:pStyle w:val="ac"/>
              <w:tabs>
                <w:tab w:val="left" w:pos="6265"/>
              </w:tabs>
              <w:jc w:val="left"/>
              <w:rPr>
                <w:rFonts w:ascii="PT Astra Serif" w:hAnsi="PT Astra Serif"/>
                <w:i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Цель: «Укрепление единства многонационального народа Российской Федерации, профилактика экстремизма»</w:t>
            </w:r>
          </w:p>
        </w:tc>
      </w:tr>
      <w:tr w:rsidR="00016C72" w:rsidRPr="006F22E9" w:rsidTr="0078162C">
        <w:trPr>
          <w:trHeight w:val="253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 в муниципальном образовании город Югорск, в общем количестве граждан 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7D383A" w:rsidP="007D122E">
            <w:pPr>
              <w:pStyle w:val="ac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</w:tbl>
    <w:p w:rsidR="00016C72" w:rsidRPr="00556D32" w:rsidRDefault="00016C72" w:rsidP="00016C72">
      <w:pPr>
        <w:tabs>
          <w:tab w:val="left" w:pos="4973"/>
        </w:tabs>
        <w:rPr>
          <w:rFonts w:ascii="PT Astra Serif" w:hAnsi="PT Astra Serif"/>
        </w:rPr>
      </w:pPr>
      <w:bookmarkStart w:id="3" w:name="sub_210"/>
      <w:r w:rsidRPr="00556D32">
        <w:rPr>
          <w:rFonts w:ascii="PT Astra Serif" w:hAnsi="PT Astra Serif"/>
        </w:rPr>
        <w:tab/>
      </w:r>
    </w:p>
    <w:p w:rsidR="0078162C" w:rsidRDefault="0078162C" w:rsidP="007D383A">
      <w:pPr>
        <w:pStyle w:val="1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bookmarkStart w:id="4" w:name="sub_300"/>
      <w:bookmarkEnd w:id="3"/>
    </w:p>
    <w:p w:rsidR="0078162C" w:rsidRDefault="0078162C" w:rsidP="0078162C"/>
    <w:p w:rsidR="0078162C" w:rsidRDefault="0078162C" w:rsidP="0078162C"/>
    <w:p w:rsidR="0078162C" w:rsidRDefault="0078162C" w:rsidP="0078162C"/>
    <w:p w:rsidR="0078162C" w:rsidRDefault="0078162C" w:rsidP="0078162C"/>
    <w:p w:rsidR="0078162C" w:rsidRPr="0078162C" w:rsidRDefault="0078162C" w:rsidP="0078162C"/>
    <w:p w:rsidR="00016C72" w:rsidRPr="00556D32" w:rsidRDefault="00016C72" w:rsidP="007D383A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bCs w:val="0"/>
          <w:sz w:val="28"/>
          <w:szCs w:val="28"/>
        </w:rPr>
        <w:lastRenderedPageBreak/>
        <w:t>3.</w:t>
      </w:r>
      <w:r w:rsidRPr="00556D32">
        <w:rPr>
          <w:rFonts w:ascii="PT Astra Serif" w:hAnsi="PT Astra Serif"/>
          <w:b w:val="0"/>
          <w:sz w:val="28"/>
          <w:szCs w:val="28"/>
        </w:rPr>
        <w:t xml:space="preserve"> Помесячный план достижения показателей муниципальной программы в 2025 году</w:t>
      </w:r>
    </w:p>
    <w:p w:rsidR="00016C72" w:rsidRPr="00556D32" w:rsidRDefault="00016C72" w:rsidP="00556D32">
      <w:pPr>
        <w:pStyle w:val="ad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250"/>
        <w:gridCol w:w="1242"/>
        <w:gridCol w:w="1236"/>
        <w:gridCol w:w="689"/>
        <w:gridCol w:w="648"/>
        <w:gridCol w:w="686"/>
        <w:gridCol w:w="742"/>
        <w:gridCol w:w="793"/>
        <w:gridCol w:w="902"/>
        <w:gridCol w:w="822"/>
        <w:gridCol w:w="793"/>
        <w:gridCol w:w="795"/>
        <w:gridCol w:w="793"/>
        <w:gridCol w:w="929"/>
        <w:gridCol w:w="929"/>
      </w:tblGrid>
      <w:tr w:rsidR="004C1722" w:rsidRPr="0078162C" w:rsidTr="0078162C">
        <w:trPr>
          <w:trHeight w:val="458"/>
          <w:tblHeader/>
        </w:trPr>
        <w:tc>
          <w:tcPr>
            <w:tcW w:w="182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№</w:t>
            </w:r>
            <w:r w:rsidRPr="0078162C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78162C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78162C">
                <w:rPr>
                  <w:rFonts w:ascii="PT Astra Serif" w:hAnsi="PT Astra Serif"/>
                  <w:sz w:val="20"/>
                  <w:szCs w:val="20"/>
                </w:rPr>
                <w:t>ОКЕИ</w:t>
              </w:r>
            </w:hyperlink>
            <w:r w:rsidRPr="0078162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905" w:type="pct"/>
            <w:gridSpan w:val="11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314" w:type="pct"/>
            <w:vMerge w:val="restar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>На конец</w:t>
            </w:r>
            <w:proofErr w:type="gramEnd"/>
            <w:r w:rsidRPr="0078162C">
              <w:rPr>
                <w:rFonts w:ascii="PT Astra Serif" w:hAnsi="PT Astra Serif"/>
                <w:sz w:val="20"/>
                <w:szCs w:val="20"/>
              </w:rPr>
              <w:t xml:space="preserve"> 2025</w:t>
            </w:r>
          </w:p>
        </w:tc>
      </w:tr>
      <w:tr w:rsidR="004C1722" w:rsidRPr="0078162C" w:rsidTr="0078162C">
        <w:trPr>
          <w:tblHeader/>
        </w:trPr>
        <w:tc>
          <w:tcPr>
            <w:tcW w:w="182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19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3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март</w:t>
            </w:r>
          </w:p>
        </w:tc>
        <w:tc>
          <w:tcPr>
            <w:tcW w:w="251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305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июнь</w:t>
            </w:r>
          </w:p>
        </w:tc>
        <w:tc>
          <w:tcPr>
            <w:tcW w:w="27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69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сен.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314" w:type="pct"/>
            <w:vMerge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C1722" w:rsidRPr="0078162C" w:rsidTr="0078162C">
        <w:trPr>
          <w:tblHeader/>
        </w:trPr>
        <w:tc>
          <w:tcPr>
            <w:tcW w:w="18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1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3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51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305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7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69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15</w:t>
            </w:r>
          </w:p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</w:tr>
      <w:tr w:rsidR="00016C72" w:rsidRPr="0078162C" w:rsidTr="0078162C">
        <w:tc>
          <w:tcPr>
            <w:tcW w:w="18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8" w:type="pct"/>
            <w:gridSpan w:val="15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Цель</w:t>
            </w: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 xml:space="preserve"> :</w:t>
            </w:r>
            <w:proofErr w:type="gramEnd"/>
            <w:r w:rsidRPr="0078162C">
              <w:rPr>
                <w:rFonts w:ascii="PT Astra Serif" w:hAnsi="PT Astra Serif"/>
                <w:sz w:val="20"/>
                <w:szCs w:val="20"/>
              </w:rPr>
              <w:t xml:space="preserve"> «Укрепление единства многонационального народа Российской Федерации, профилактика экстремизма»</w:t>
            </w:r>
          </w:p>
        </w:tc>
      </w:tr>
      <w:tr w:rsidR="004C1722" w:rsidRPr="0078162C" w:rsidTr="0078162C">
        <w:tc>
          <w:tcPr>
            <w:tcW w:w="182" w:type="pct"/>
            <w:shd w:val="clear" w:color="auto" w:fill="auto"/>
          </w:tcPr>
          <w:p w:rsidR="00016C72" w:rsidRPr="0078162C" w:rsidRDefault="00016C72" w:rsidP="00556D32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761" w:type="pct"/>
            <w:shd w:val="clear" w:color="auto" w:fill="auto"/>
          </w:tcPr>
          <w:p w:rsidR="00016C72" w:rsidRPr="0078162C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Доля граждан, положительно оценивающих состояние</w:t>
            </w:r>
          </w:p>
          <w:p w:rsidR="00016C72" w:rsidRPr="0078162C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 xml:space="preserve">межнациональных (межэтнических) отношений в </w:t>
            </w: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>муниципальном</w:t>
            </w:r>
            <w:proofErr w:type="gramEnd"/>
          </w:p>
          <w:p w:rsidR="00016C72" w:rsidRPr="0078162C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8162C">
              <w:rPr>
                <w:rFonts w:ascii="PT Astra Serif" w:hAnsi="PT Astra Serif"/>
                <w:sz w:val="20"/>
                <w:szCs w:val="20"/>
              </w:rPr>
              <w:t>образовании</w:t>
            </w:r>
            <w:proofErr w:type="gramEnd"/>
            <w:r w:rsidRPr="0078162C">
              <w:rPr>
                <w:rFonts w:ascii="PT Astra Serif" w:hAnsi="PT Astra Serif"/>
                <w:sz w:val="20"/>
                <w:szCs w:val="20"/>
              </w:rPr>
              <w:t xml:space="preserve"> город Югорск, в общей численности граждан</w:t>
            </w:r>
          </w:p>
        </w:tc>
        <w:tc>
          <w:tcPr>
            <w:tcW w:w="420" w:type="pct"/>
            <w:shd w:val="clear" w:color="auto" w:fill="auto"/>
          </w:tcPr>
          <w:p w:rsidR="00016C72" w:rsidRPr="0078162C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78162C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41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233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016C72" w:rsidRPr="0078162C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</w:pPr>
            <w:r w:rsidRPr="0078162C">
              <w:rPr>
                <w:rFonts w:ascii="PT Astra Serif" w:hAnsi="PT Astra Serif" w:cs="Arial"/>
                <w:b w:val="0"/>
                <w:bCs w:val="0"/>
                <w:kern w:val="0"/>
                <w:sz w:val="20"/>
                <w:szCs w:val="20"/>
                <w:lang w:eastAsia="ru-RU"/>
              </w:rPr>
              <w:t>85</w:t>
            </w:r>
          </w:p>
        </w:tc>
      </w:tr>
    </w:tbl>
    <w:p w:rsidR="00016C72" w:rsidRPr="00556D32" w:rsidRDefault="00016C72" w:rsidP="00016C72">
      <w:pPr>
        <w:pStyle w:val="1"/>
        <w:tabs>
          <w:tab w:val="left" w:pos="6373"/>
        </w:tabs>
        <w:jc w:val="both"/>
        <w:rPr>
          <w:rFonts w:ascii="PT Astra Serif" w:hAnsi="PT Astra Serif"/>
          <w:b w:val="0"/>
        </w:rPr>
      </w:pPr>
      <w:r w:rsidRPr="00556D32">
        <w:rPr>
          <w:rFonts w:ascii="PT Astra Serif" w:hAnsi="PT Astra Serif"/>
          <w:b w:val="0"/>
        </w:rPr>
        <w:tab/>
      </w: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Default="00016C72" w:rsidP="00016C72">
      <w:pPr>
        <w:rPr>
          <w:rFonts w:ascii="PT Astra Serif" w:hAnsi="PT Astra Serif"/>
        </w:rPr>
      </w:pPr>
    </w:p>
    <w:p w:rsidR="00556D32" w:rsidRDefault="00556D32" w:rsidP="00016C72">
      <w:pPr>
        <w:rPr>
          <w:rFonts w:ascii="PT Astra Serif" w:hAnsi="PT Astra Serif"/>
        </w:rPr>
      </w:pPr>
    </w:p>
    <w:p w:rsidR="00556D32" w:rsidRPr="00556D32" w:rsidRDefault="00556D3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6F22E9" w:rsidRDefault="006F22E9" w:rsidP="003D4125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</w:p>
    <w:p w:rsidR="006F22E9" w:rsidRPr="006F22E9" w:rsidRDefault="006F22E9" w:rsidP="006F22E9"/>
    <w:p w:rsidR="00016C72" w:rsidRPr="00556D32" w:rsidRDefault="00016C72" w:rsidP="003D4125">
      <w:pPr>
        <w:pStyle w:val="1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sz w:val="28"/>
          <w:szCs w:val="28"/>
        </w:rPr>
        <w:lastRenderedPageBreak/>
        <w:t>4. Структура муниципальной программы</w:t>
      </w:r>
    </w:p>
    <w:bookmarkEnd w:id="4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3824"/>
        <w:gridCol w:w="9"/>
        <w:gridCol w:w="6512"/>
        <w:gridCol w:w="3484"/>
      </w:tblGrid>
      <w:tr w:rsidR="00016C72" w:rsidRPr="006F22E9" w:rsidTr="006F22E9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№</w:t>
            </w:r>
            <w:r w:rsidRPr="006F22E9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016C72" w:rsidRPr="006F22E9" w:rsidTr="006F22E9">
        <w:trPr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Соисполнители:</w:t>
            </w:r>
          </w:p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Управление образования администрации города Югорска (далее – УО), Управление культуры администрации города Югорска (далее УК), управление социальной политики администрации города Югорска (далее – УСП)</w:t>
            </w:r>
          </w:p>
        </w:tc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Срок реализации: 2025 – 2030 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i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Гармонизация  межнациональных (межэтнических) и межконфессиональных отношений</w:t>
            </w:r>
            <w:r w:rsidRPr="006F22E9">
              <w:rPr>
                <w:rFonts w:ascii="PT Astra Serif" w:hAnsi="PT Astra Serif" w:cs="Times New Roman"/>
                <w:sz w:val="20"/>
                <w:szCs w:val="20"/>
              </w:rPr>
              <w:t>, укрепление гражданского единства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Проведение не менее 15 мероприятий, направленных на гармонизацию межнациональных и межконфессиональных отношений, содействие этнокультурному и духовному развитию народов, по изучению культурного наследия народов России и мира в образовательных организациях города, формирование и сохранение единого этнокуль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>турного пространства, укрепление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 гражданского единства: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фестивали, конкурсы, форумы, рабочие встречи, обучающие семинары, научно-практические конференции, иные мероприятия по обеспечению просветительской деятельности;</w:t>
            </w:r>
          </w:p>
          <w:p w:rsidR="00016C72" w:rsidRPr="006F22E9" w:rsidRDefault="00016C72" w:rsidP="00556D32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разработка и издание информационных материалов, видеороликов, памяток, буклетов, транслирование информации в СМИ;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традиционные игры и состязания, спортивные мероприятия, </w:t>
            </w: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приуроченные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в том числе к национальным праздникам коренных малочисленных народов Севера и других народов, проживающих в городе Югорске;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всероссийская просветительская акция «Большой этнографический диктант»;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русского языка;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России;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Международный день коренных народов мира; 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народного Единства;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Конституции Российской Федерации;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День образования Ханты-Мансийского автономного округа - Югры;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lastRenderedPageBreak/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иные мероприятия, приуроченные к памятным датам в истории народов России.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lastRenderedPageBreak/>
              <w:t>Доля граждан, положительно оценивающих состояние межнациональных (межэтнических) отношений в муниципальном образовании город Югорск, в общей численности граждан</w:t>
            </w:r>
          </w:p>
        </w:tc>
      </w:tr>
      <w:tr w:rsidR="00016C72" w:rsidRPr="006F22E9" w:rsidTr="006F22E9">
        <w:trPr>
          <w:trHeight w:val="363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«Профилактика экстремистских проявлений, укрепление гражданского единства»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Соисполнители:</w:t>
            </w:r>
          </w:p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УО, УК, УСП</w:t>
            </w:r>
          </w:p>
        </w:tc>
        <w:tc>
          <w:tcPr>
            <w:tcW w:w="3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Срок реализации: 2025 – 2030 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Профилактика проявлений экстремизма и противодействие его идеологии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556D32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Проведение не менее 10 мероприятий в сфере профилактики экстремизма, укрепления общероссийского гражданского единства, в том числе:</w:t>
            </w:r>
          </w:p>
          <w:p w:rsidR="00016C72" w:rsidRPr="006F22E9" w:rsidRDefault="00016C72" w:rsidP="00921821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интеллектуальных конкурсов, викторин, лекций, 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>тематических встреч, форумов,  «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круглых столов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>»</w:t>
            </w:r>
            <w:r w:rsidRPr="006F22E9">
              <w:rPr>
                <w:rFonts w:ascii="PT Astra Serif" w:hAnsi="PT Astra Serif"/>
                <w:sz w:val="20"/>
                <w:szCs w:val="20"/>
              </w:rPr>
              <w:t>, дискуссий, направленных на формирование у подрастающего поколения уважительного отношения ко всем этносам и религиям, стойкого неприятия идеологии экстремизма и терроризма, привитие традиционных российских духовно-нравственных ценностей.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 в муниципальном образовании город Югорск, в общей численности граждан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2.2.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Содействие социальной и культурной адаптации иностранных граждан (мигрантов)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Проведение не менее 5 мероприятий, направленных содействие социальной и культурной адаптации иностранных граждан (мигрантов), в том числе: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разработка и издание информационных материалов, транслирование информации в СМИ;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прове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дение встреч, обучающих лекций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и др</w:t>
            </w:r>
            <w:r w:rsidR="00CD0985" w:rsidRPr="006F22E9">
              <w:rPr>
                <w:rFonts w:ascii="PT Astra Serif" w:hAnsi="PT Astra Serif"/>
                <w:sz w:val="20"/>
                <w:szCs w:val="20"/>
              </w:rPr>
              <w:t>угих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мероприяти</w:t>
            </w:r>
            <w:r w:rsidR="00CD0985" w:rsidRPr="006F22E9">
              <w:rPr>
                <w:rFonts w:ascii="PT Astra Serif" w:hAnsi="PT Astra Serif"/>
                <w:sz w:val="20"/>
                <w:szCs w:val="20"/>
              </w:rPr>
              <w:t>й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 xml:space="preserve"> для иностранных граждан (мигрантов);</w:t>
            </w:r>
          </w:p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-</w:t>
            </w:r>
            <w:r w:rsidR="00921821"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обучение и переподготовка специалистов, работающих с детьми иностранных граждан (мигрантов) в образовательных учреждениях города.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 в муниципальном образовании город Югорск, в общей численности граждан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4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«Содействие развитию казачества через усиление его роли в решении государственных и муниципальных задач»</w:t>
            </w: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за реализацию: </w:t>
            </w:r>
            <w:proofErr w:type="spellStart"/>
            <w:r w:rsidRPr="006F22E9">
              <w:rPr>
                <w:rFonts w:ascii="PT Astra Serif" w:hAnsi="PT Astra Serif"/>
                <w:sz w:val="20"/>
                <w:szCs w:val="20"/>
              </w:rPr>
              <w:t>УВПиМК</w:t>
            </w:r>
            <w:proofErr w:type="spellEnd"/>
            <w:r w:rsidRPr="006F22E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Соисполнители:</w:t>
            </w:r>
          </w:p>
          <w:p w:rsidR="00016C72" w:rsidRPr="006F22E9" w:rsidRDefault="00016C72" w:rsidP="007D122E">
            <w:pPr>
              <w:pStyle w:val="ac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УО, УК, УСП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 xml:space="preserve">Срок реализации: 2025 – 2030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16C72" w:rsidRPr="006F22E9" w:rsidTr="006F22E9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3.1.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Содействие развитию казачества на территории города Югорска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Сохранение и популяризация самобытной казачьей культуры, обеспечение участия казачьего общества «Станица Югорская» в воспитании идей национального единства и патриотизма.</w:t>
            </w:r>
          </w:p>
          <w:p w:rsidR="00016C72" w:rsidRPr="006F22E9" w:rsidRDefault="00016C72" w:rsidP="007D122E">
            <w:pPr>
              <w:pStyle w:val="ad"/>
              <w:ind w:firstLine="3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Вовлечение членов казачьего общества «Станица Югорская» в мероприятия по решению государственных и  муниципальных задач в сфере обеспечения общественного порядка, территориальной безопасности.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 в муниципальном образовании город Югорск, в общей численности граждан</w:t>
            </w:r>
          </w:p>
        </w:tc>
      </w:tr>
    </w:tbl>
    <w:p w:rsidR="00016C72" w:rsidRPr="00556D32" w:rsidRDefault="0078162C" w:rsidP="0078162C">
      <w:pPr>
        <w:pStyle w:val="1"/>
        <w:keepNext w:val="0"/>
        <w:widowControl w:val="0"/>
        <w:suppressAutoHyphens w:val="0"/>
        <w:autoSpaceDE w:val="0"/>
        <w:autoSpaceDN w:val="0"/>
        <w:adjustRightInd w:val="0"/>
        <w:spacing w:before="108" w:after="108"/>
        <w:ind w:left="360"/>
        <w:jc w:val="center"/>
        <w:rPr>
          <w:rFonts w:ascii="PT Astra Serif" w:hAnsi="PT Astra Serif"/>
          <w:b w:val="0"/>
          <w:sz w:val="28"/>
          <w:szCs w:val="28"/>
        </w:rPr>
      </w:pPr>
      <w:bookmarkStart w:id="5" w:name="sub_400"/>
      <w:r>
        <w:rPr>
          <w:rFonts w:ascii="PT Astra Serif" w:hAnsi="PT Astra Serif"/>
          <w:b w:val="0"/>
          <w:sz w:val="28"/>
          <w:szCs w:val="28"/>
        </w:rPr>
        <w:lastRenderedPageBreak/>
        <w:t>5. </w:t>
      </w:r>
      <w:r w:rsidR="00016C72" w:rsidRPr="00556D32">
        <w:rPr>
          <w:rFonts w:ascii="PT Astra Serif" w:hAnsi="PT Astra Serif"/>
          <w:b w:val="0"/>
          <w:sz w:val="28"/>
          <w:szCs w:val="28"/>
        </w:rPr>
        <w:t>Финансовое обеспечение муниципальной программы</w:t>
      </w:r>
    </w:p>
    <w:bookmarkEnd w:id="5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5915"/>
        <w:gridCol w:w="1346"/>
        <w:gridCol w:w="1076"/>
        <w:gridCol w:w="1479"/>
        <w:gridCol w:w="1076"/>
        <w:gridCol w:w="1209"/>
        <w:gridCol w:w="1209"/>
        <w:gridCol w:w="804"/>
      </w:tblGrid>
      <w:tr w:rsidR="00016C72" w:rsidRPr="006F22E9" w:rsidTr="0078162C">
        <w:trPr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F22E9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6F22E9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годам, тыс. рублей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16C72" w:rsidRPr="006F22E9" w:rsidTr="0078162C">
        <w:trPr>
          <w:tblHeader/>
        </w:trPr>
        <w:tc>
          <w:tcPr>
            <w:tcW w:w="2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  <w:lang w:val="en-US"/>
              </w:rPr>
              <w:t>202</w:t>
            </w:r>
            <w:r w:rsidRPr="006F22E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  <w:lang w:val="en-US"/>
              </w:rPr>
              <w:t>202</w:t>
            </w:r>
            <w:r w:rsidRPr="006F22E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016C72" w:rsidRPr="006F22E9" w:rsidTr="0078162C">
        <w:trPr>
          <w:tblHeader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016C72" w:rsidRPr="006F22E9" w:rsidTr="0078162C">
        <w:tc>
          <w:tcPr>
            <w:tcW w:w="2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Муниципальная программа</w:t>
            </w:r>
            <w:r w:rsidRPr="006F22E9">
              <w:rPr>
                <w:rFonts w:ascii="PT Astra Serif" w:hAnsi="PT Astra Serif" w:cs="Times New Roman"/>
                <w:sz w:val="20"/>
                <w:szCs w:val="20"/>
              </w:rPr>
              <w:t xml:space="preserve"> «</w:t>
            </w:r>
            <w:r w:rsidRPr="006F22E9">
              <w:rPr>
                <w:rFonts w:ascii="PT Astra Serif" w:hAnsi="PT Astra Serif"/>
                <w:sz w:val="20"/>
                <w:szCs w:val="20"/>
              </w:rPr>
              <w:t>Государственная национальная политика и профилактика экстремизма» (всего),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810,0</w:t>
            </w:r>
          </w:p>
        </w:tc>
      </w:tr>
      <w:tr w:rsidR="00016C72" w:rsidRPr="006F22E9" w:rsidTr="0078162C">
        <w:tc>
          <w:tcPr>
            <w:tcW w:w="2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810,0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</w:t>
            </w:r>
            <w:r w:rsidRPr="006F22E9">
              <w:rPr>
                <w:rFonts w:ascii="PT Astra Serif" w:hAnsi="PT Astra Serif"/>
                <w:bCs/>
                <w:sz w:val="20"/>
                <w:szCs w:val="20"/>
              </w:rPr>
              <w:t>Укрепление единства российской нации, формирование общероссийской гражданской идентичности, этнокультурное развитие народов России</w:t>
            </w:r>
            <w:r w:rsidRPr="006F22E9">
              <w:rPr>
                <w:rFonts w:ascii="PT Astra Serif" w:hAnsi="PT Astra Serif"/>
                <w:sz w:val="20"/>
                <w:szCs w:val="20"/>
              </w:rPr>
              <w:t>» (всего),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286,5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286,5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«Профилактика экстремистских проявлений, укрепление гражданского единства»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518,5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114,5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518,5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Комплекс процессных мероприятий «Содействие развитию казачества через усиление его роли в решении государственных и муниципальных задач» (всего),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  <w:tr w:rsidR="00016C72" w:rsidRPr="006F22E9" w:rsidTr="0078162C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3.1.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d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ind w:firstLine="34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6F22E9" w:rsidRDefault="00016C72" w:rsidP="007D122E">
            <w:pPr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6F22E9" w:rsidRDefault="00016C72" w:rsidP="007D122E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22E9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</w:tr>
    </w:tbl>
    <w:p w:rsidR="00016C72" w:rsidRPr="00556D32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  <w:sectPr w:rsidR="00016C72" w:rsidRPr="00556D32" w:rsidSect="0078162C">
          <w:headerReference w:type="default" r:id="rId15"/>
          <w:footerReference w:type="default" r:id="rId16"/>
          <w:pgSz w:w="16838" w:h="11906" w:orient="landscape"/>
          <w:pgMar w:top="1701" w:right="1134" w:bottom="851" w:left="1134" w:header="567" w:footer="567" w:gutter="0"/>
          <w:cols w:space="708"/>
          <w:docGrid w:linePitch="360"/>
        </w:sectPr>
      </w:pPr>
    </w:p>
    <w:p w:rsidR="0078162C" w:rsidRDefault="006F22E9" w:rsidP="0078162C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78162C">
        <w:rPr>
          <w:rFonts w:ascii="PT Astra Serif" w:hAnsi="PT Astra Serif"/>
          <w:b/>
          <w:sz w:val="28"/>
          <w:szCs w:val="28"/>
        </w:rPr>
        <w:t xml:space="preserve"> </w:t>
      </w:r>
      <w:r w:rsidR="00921821">
        <w:rPr>
          <w:rFonts w:ascii="PT Astra Serif" w:hAnsi="PT Astra Serif"/>
          <w:b/>
          <w:sz w:val="28"/>
          <w:szCs w:val="28"/>
        </w:rPr>
        <w:t>к п</w:t>
      </w:r>
      <w:r w:rsidR="0078162C">
        <w:rPr>
          <w:rFonts w:ascii="PT Astra Serif" w:hAnsi="PT Astra Serif"/>
          <w:b/>
          <w:sz w:val="28"/>
          <w:szCs w:val="28"/>
        </w:rPr>
        <w:t>аспорту</w:t>
      </w:r>
    </w:p>
    <w:p w:rsidR="00016C72" w:rsidRPr="003D4125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D4125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16C72" w:rsidRPr="00556D32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</w:rPr>
      </w:pPr>
    </w:p>
    <w:p w:rsidR="00016C72" w:rsidRPr="00556D32" w:rsidRDefault="00016C72" w:rsidP="00016C72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016C72" w:rsidRPr="00556D32" w:rsidRDefault="00016C72" w:rsidP="00016C72">
      <w:pPr>
        <w:tabs>
          <w:tab w:val="left" w:pos="1134"/>
        </w:tabs>
        <w:spacing w:line="276" w:lineRule="auto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509"/>
        <w:gridCol w:w="2857"/>
        <w:gridCol w:w="5631"/>
      </w:tblGrid>
      <w:tr w:rsidR="00016C72" w:rsidRPr="006F22E9" w:rsidTr="0078162C">
        <w:tc>
          <w:tcPr>
            <w:tcW w:w="267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 xml:space="preserve">№ </w:t>
            </w:r>
            <w:proofErr w:type="gramStart"/>
            <w:r w:rsidRPr="006F22E9">
              <w:rPr>
                <w:rFonts w:ascii="PT Astra Serif" w:hAnsi="PT Astra Serif"/>
              </w:rPr>
              <w:t>п</w:t>
            </w:r>
            <w:proofErr w:type="gramEnd"/>
            <w:r w:rsidRPr="006F22E9">
              <w:rPr>
                <w:rFonts w:ascii="PT Astra Serif" w:hAnsi="PT Astra Serif"/>
              </w:rPr>
              <w:t>/п</w:t>
            </w:r>
          </w:p>
        </w:tc>
        <w:tc>
          <w:tcPr>
            <w:tcW w:w="1863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966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904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 xml:space="preserve">Метод расчета </w:t>
            </w:r>
          </w:p>
        </w:tc>
      </w:tr>
      <w:tr w:rsidR="00016C72" w:rsidRPr="006F22E9" w:rsidTr="0078162C">
        <w:tc>
          <w:tcPr>
            <w:tcW w:w="267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1.</w:t>
            </w:r>
          </w:p>
        </w:tc>
        <w:tc>
          <w:tcPr>
            <w:tcW w:w="1863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Доля граждан, положительно оценивающих состояние межнациональных (межэтнических) отношений в муниципальном образовании город Югорск, в общей численности граждан</w:t>
            </w:r>
          </w:p>
        </w:tc>
        <w:tc>
          <w:tcPr>
            <w:tcW w:w="966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Процент</w:t>
            </w:r>
          </w:p>
        </w:tc>
        <w:tc>
          <w:tcPr>
            <w:tcW w:w="1904" w:type="pct"/>
            <w:shd w:val="clear" w:color="auto" w:fill="auto"/>
          </w:tcPr>
          <w:p w:rsidR="00016C72" w:rsidRPr="006F22E9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</w:rPr>
            </w:pPr>
            <w:r w:rsidRPr="006F22E9">
              <w:rPr>
                <w:rFonts w:ascii="PT Astra Serif" w:hAnsi="PT Astra Serif"/>
              </w:rPr>
              <w:t>Доводится до органов местного самоуправления по результатам ежегодного социологического опроса граждан, организуемого Департаментом молодёжной политики, гражданских инициатив и внешних связей Ханты-Мансийского автономного округа - Югры</w:t>
            </w:r>
          </w:p>
        </w:tc>
      </w:tr>
    </w:tbl>
    <w:p w:rsidR="00016C72" w:rsidRPr="00556D32" w:rsidRDefault="00016C72" w:rsidP="00016C7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14"/>
          <w:szCs w:val="14"/>
          <w:lang w:eastAsia="ru-RU"/>
        </w:rPr>
      </w:pPr>
    </w:p>
    <w:sectPr w:rsidR="00016C72" w:rsidRPr="00556D32" w:rsidSect="0078162C">
      <w:headerReference w:type="default" r:id="rId17"/>
      <w:headerReference w:type="first" r:id="rId18"/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94" w:rsidRDefault="008F5A94" w:rsidP="00A62395">
      <w:r>
        <w:separator/>
      </w:r>
    </w:p>
  </w:endnote>
  <w:endnote w:type="continuationSeparator" w:id="0">
    <w:p w:rsidR="008F5A94" w:rsidRDefault="008F5A94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72" w:rsidRDefault="00016C7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94" w:rsidRDefault="008F5A94" w:rsidP="00A62395">
      <w:r>
        <w:separator/>
      </w:r>
    </w:p>
  </w:footnote>
  <w:footnote w:type="continuationSeparator" w:id="0">
    <w:p w:rsidR="008F5A94" w:rsidRDefault="008F5A94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0465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C7339" w:rsidRPr="006F22E9" w:rsidRDefault="006F22E9" w:rsidP="006F22E9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6F22E9">
          <w:rPr>
            <w:rFonts w:ascii="PT Astra Serif" w:hAnsi="PT Astra Serif"/>
            <w:sz w:val="22"/>
            <w:szCs w:val="22"/>
          </w:rPr>
          <w:fldChar w:fldCharType="begin"/>
        </w:r>
        <w:r w:rsidRPr="006F22E9">
          <w:rPr>
            <w:rFonts w:ascii="PT Astra Serif" w:hAnsi="PT Astra Serif"/>
            <w:sz w:val="22"/>
            <w:szCs w:val="22"/>
          </w:rPr>
          <w:instrText>PAGE   \* MERGEFORMAT</w:instrText>
        </w:r>
        <w:r w:rsidRPr="006F22E9">
          <w:rPr>
            <w:rFonts w:ascii="PT Astra Serif" w:hAnsi="PT Astra Serif"/>
            <w:sz w:val="22"/>
            <w:szCs w:val="22"/>
          </w:rPr>
          <w:fldChar w:fldCharType="separate"/>
        </w:r>
        <w:r w:rsidR="004352CA" w:rsidRPr="004352CA">
          <w:rPr>
            <w:rFonts w:ascii="PT Astra Serif" w:hAnsi="PT Astra Serif"/>
            <w:noProof/>
            <w:sz w:val="22"/>
            <w:szCs w:val="22"/>
            <w:lang w:val="ru-RU"/>
          </w:rPr>
          <w:t>2</w:t>
        </w:r>
        <w:r w:rsidRPr="006F22E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9" w:rsidRPr="001C7339" w:rsidRDefault="001C7339">
    <w:pPr>
      <w:pStyle w:val="afd"/>
      <w:jc w:val="center"/>
      <w:rPr>
        <w:lang w:val="ru-RU"/>
      </w:rPr>
    </w:pPr>
  </w:p>
  <w:p w:rsidR="001C7339" w:rsidRDefault="001C7339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72" w:rsidRPr="006F22E9" w:rsidRDefault="001C7339" w:rsidP="006F22E9">
    <w:pPr>
      <w:pStyle w:val="afd"/>
      <w:jc w:val="center"/>
      <w:rPr>
        <w:rFonts w:ascii="PT Astra Serif" w:hAnsi="PT Astra Serif"/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4352CA" w:rsidRPr="004352CA">
      <w:rPr>
        <w:noProof/>
        <w:lang w:val="ru-RU"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67853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F5A94" w:rsidRPr="0078162C" w:rsidRDefault="0078162C" w:rsidP="0078162C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78162C">
          <w:rPr>
            <w:rFonts w:ascii="PT Astra Serif" w:hAnsi="PT Astra Serif"/>
            <w:sz w:val="22"/>
            <w:szCs w:val="22"/>
          </w:rPr>
          <w:fldChar w:fldCharType="begin"/>
        </w:r>
        <w:r w:rsidRPr="0078162C">
          <w:rPr>
            <w:rFonts w:ascii="PT Astra Serif" w:hAnsi="PT Astra Serif"/>
            <w:sz w:val="22"/>
            <w:szCs w:val="22"/>
          </w:rPr>
          <w:instrText>PAGE   \* MERGEFORMAT</w:instrText>
        </w:r>
        <w:r w:rsidRPr="0078162C">
          <w:rPr>
            <w:rFonts w:ascii="PT Astra Serif" w:hAnsi="PT Astra Serif"/>
            <w:sz w:val="22"/>
            <w:szCs w:val="22"/>
          </w:rPr>
          <w:fldChar w:fldCharType="separate"/>
        </w:r>
        <w:r w:rsidR="004352CA" w:rsidRPr="004352CA">
          <w:rPr>
            <w:rFonts w:ascii="PT Astra Serif" w:hAnsi="PT Astra Serif"/>
            <w:noProof/>
            <w:sz w:val="22"/>
            <w:szCs w:val="22"/>
            <w:lang w:val="ru-RU"/>
          </w:rPr>
          <w:t>9</w:t>
        </w:r>
        <w:r w:rsidRPr="0078162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8F5A94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8F5A94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8F5A94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8F5A94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8F5A94" w:rsidRDefault="008F5A9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9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2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06E3A"/>
    <w:multiLevelType w:val="hybridMultilevel"/>
    <w:tmpl w:val="DEAAD0D2"/>
    <w:lvl w:ilvl="0" w:tplc="72BC29D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3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</w:num>
  <w:num w:numId="23">
    <w:abstractNumId w:val="28"/>
  </w:num>
  <w:num w:numId="24">
    <w:abstractNumId w:val="13"/>
  </w:num>
  <w:num w:numId="25">
    <w:abstractNumId w:val="22"/>
  </w:num>
  <w:num w:numId="26">
    <w:abstractNumId w:val="19"/>
  </w:num>
  <w:num w:numId="27">
    <w:abstractNumId w:val="15"/>
  </w:num>
  <w:num w:numId="28">
    <w:abstractNumId w:val="11"/>
  </w:num>
  <w:num w:numId="29">
    <w:abstractNumId w:val="17"/>
  </w:num>
  <w:num w:numId="30">
    <w:abstractNumId w:val="20"/>
  </w:num>
  <w:num w:numId="31">
    <w:abstractNumId w:val="9"/>
  </w:num>
  <w:num w:numId="32">
    <w:abstractNumId w:val="14"/>
  </w:num>
  <w:num w:numId="33">
    <w:abstractNumId w:val="29"/>
  </w:num>
  <w:num w:numId="34">
    <w:abstractNumId w:val="8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7D30"/>
    <w:rsid w:val="00016C72"/>
    <w:rsid w:val="00024C3E"/>
    <w:rsid w:val="00026EF7"/>
    <w:rsid w:val="0002765C"/>
    <w:rsid w:val="00045265"/>
    <w:rsid w:val="0005235B"/>
    <w:rsid w:val="000713DF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59FB"/>
    <w:rsid w:val="00146FA2"/>
    <w:rsid w:val="0015265F"/>
    <w:rsid w:val="0015648E"/>
    <w:rsid w:val="001617B0"/>
    <w:rsid w:val="00164EF2"/>
    <w:rsid w:val="001650CF"/>
    <w:rsid w:val="001769FA"/>
    <w:rsid w:val="0018017D"/>
    <w:rsid w:val="001812F5"/>
    <w:rsid w:val="0018271A"/>
    <w:rsid w:val="001834A8"/>
    <w:rsid w:val="00184ECA"/>
    <w:rsid w:val="001857BE"/>
    <w:rsid w:val="00190F97"/>
    <w:rsid w:val="00195638"/>
    <w:rsid w:val="001A1F74"/>
    <w:rsid w:val="001A4896"/>
    <w:rsid w:val="001C33CC"/>
    <w:rsid w:val="001C575C"/>
    <w:rsid w:val="001C7339"/>
    <w:rsid w:val="001D2579"/>
    <w:rsid w:val="001E316F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6E8C"/>
    <w:rsid w:val="002B33A5"/>
    <w:rsid w:val="002B36FC"/>
    <w:rsid w:val="002B418A"/>
    <w:rsid w:val="002B6CD1"/>
    <w:rsid w:val="002B763C"/>
    <w:rsid w:val="002C236D"/>
    <w:rsid w:val="002C3573"/>
    <w:rsid w:val="002C6C13"/>
    <w:rsid w:val="002C72B9"/>
    <w:rsid w:val="002E036C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33780"/>
    <w:rsid w:val="00351E5F"/>
    <w:rsid w:val="003642AD"/>
    <w:rsid w:val="0037056B"/>
    <w:rsid w:val="00374C40"/>
    <w:rsid w:val="00381CC3"/>
    <w:rsid w:val="003901BD"/>
    <w:rsid w:val="00390A83"/>
    <w:rsid w:val="003A238D"/>
    <w:rsid w:val="003B77BA"/>
    <w:rsid w:val="003C3D2F"/>
    <w:rsid w:val="003D3C67"/>
    <w:rsid w:val="003D4125"/>
    <w:rsid w:val="003D688F"/>
    <w:rsid w:val="003E465C"/>
    <w:rsid w:val="003E4E2D"/>
    <w:rsid w:val="003E7430"/>
    <w:rsid w:val="003F52A1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352CA"/>
    <w:rsid w:val="00440871"/>
    <w:rsid w:val="004411D4"/>
    <w:rsid w:val="004469EA"/>
    <w:rsid w:val="00446DB3"/>
    <w:rsid w:val="004525F4"/>
    <w:rsid w:val="00452AE2"/>
    <w:rsid w:val="00455F10"/>
    <w:rsid w:val="00463620"/>
    <w:rsid w:val="0047055B"/>
    <w:rsid w:val="0047438F"/>
    <w:rsid w:val="00482ABA"/>
    <w:rsid w:val="0048408D"/>
    <w:rsid w:val="00490A0B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675A"/>
    <w:rsid w:val="004F1B39"/>
    <w:rsid w:val="00510950"/>
    <w:rsid w:val="00514E3B"/>
    <w:rsid w:val="00516CAB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2256"/>
    <w:rsid w:val="00566589"/>
    <w:rsid w:val="00584CAA"/>
    <w:rsid w:val="0059054F"/>
    <w:rsid w:val="00590F16"/>
    <w:rsid w:val="005A1221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23AA4"/>
    <w:rsid w:val="00624190"/>
    <w:rsid w:val="00631188"/>
    <w:rsid w:val="00632856"/>
    <w:rsid w:val="006422AB"/>
    <w:rsid w:val="00647BDC"/>
    <w:rsid w:val="0065328E"/>
    <w:rsid w:val="006554EA"/>
    <w:rsid w:val="00661E76"/>
    <w:rsid w:val="00667484"/>
    <w:rsid w:val="00673A28"/>
    <w:rsid w:val="00680030"/>
    <w:rsid w:val="006921DE"/>
    <w:rsid w:val="00696147"/>
    <w:rsid w:val="006A6DDA"/>
    <w:rsid w:val="006B3FA0"/>
    <w:rsid w:val="006B426C"/>
    <w:rsid w:val="006C02F6"/>
    <w:rsid w:val="006C52E9"/>
    <w:rsid w:val="006C62BA"/>
    <w:rsid w:val="006C7D8B"/>
    <w:rsid w:val="006D43E7"/>
    <w:rsid w:val="006E15CB"/>
    <w:rsid w:val="006E4C51"/>
    <w:rsid w:val="006E70F3"/>
    <w:rsid w:val="006F18E4"/>
    <w:rsid w:val="006F22E9"/>
    <w:rsid w:val="006F6444"/>
    <w:rsid w:val="00713C1C"/>
    <w:rsid w:val="00717595"/>
    <w:rsid w:val="00720E01"/>
    <w:rsid w:val="0072213E"/>
    <w:rsid w:val="00725823"/>
    <w:rsid w:val="0072658A"/>
    <w:rsid w:val="007268A4"/>
    <w:rsid w:val="007363ED"/>
    <w:rsid w:val="00752442"/>
    <w:rsid w:val="007530BD"/>
    <w:rsid w:val="00753B9D"/>
    <w:rsid w:val="0076793A"/>
    <w:rsid w:val="0077410F"/>
    <w:rsid w:val="00776636"/>
    <w:rsid w:val="00776F6D"/>
    <w:rsid w:val="0078162C"/>
    <w:rsid w:val="00793E07"/>
    <w:rsid w:val="007A2C0A"/>
    <w:rsid w:val="007A5BD8"/>
    <w:rsid w:val="007B3494"/>
    <w:rsid w:val="007C7622"/>
    <w:rsid w:val="007D383A"/>
    <w:rsid w:val="007D5A8E"/>
    <w:rsid w:val="007D6152"/>
    <w:rsid w:val="007E13A1"/>
    <w:rsid w:val="007E295C"/>
    <w:rsid w:val="007E29A5"/>
    <w:rsid w:val="007E4EEC"/>
    <w:rsid w:val="007F4A15"/>
    <w:rsid w:val="0080097A"/>
    <w:rsid w:val="008127E9"/>
    <w:rsid w:val="008148CD"/>
    <w:rsid w:val="00816705"/>
    <w:rsid w:val="00823CD7"/>
    <w:rsid w:val="00824106"/>
    <w:rsid w:val="008267F4"/>
    <w:rsid w:val="0082685B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74BF"/>
    <w:rsid w:val="008A20E9"/>
    <w:rsid w:val="008A22E2"/>
    <w:rsid w:val="008B0977"/>
    <w:rsid w:val="008B3514"/>
    <w:rsid w:val="008B464D"/>
    <w:rsid w:val="008C00C4"/>
    <w:rsid w:val="008C407D"/>
    <w:rsid w:val="008D5AC3"/>
    <w:rsid w:val="008D6786"/>
    <w:rsid w:val="008F4517"/>
    <w:rsid w:val="008F5A94"/>
    <w:rsid w:val="008F632A"/>
    <w:rsid w:val="009057D1"/>
    <w:rsid w:val="00906884"/>
    <w:rsid w:val="00910A18"/>
    <w:rsid w:val="00914417"/>
    <w:rsid w:val="00921821"/>
    <w:rsid w:val="00922BE1"/>
    <w:rsid w:val="00930309"/>
    <w:rsid w:val="00942635"/>
    <w:rsid w:val="009456A6"/>
    <w:rsid w:val="00953E9C"/>
    <w:rsid w:val="0095504B"/>
    <w:rsid w:val="009632F0"/>
    <w:rsid w:val="0097026B"/>
    <w:rsid w:val="00983222"/>
    <w:rsid w:val="009956B9"/>
    <w:rsid w:val="009966E7"/>
    <w:rsid w:val="009A2985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7184"/>
    <w:rsid w:val="00A069F4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47D7"/>
    <w:rsid w:val="00A604A7"/>
    <w:rsid w:val="00A609A1"/>
    <w:rsid w:val="00A62395"/>
    <w:rsid w:val="00A70E71"/>
    <w:rsid w:val="00A736E7"/>
    <w:rsid w:val="00A74332"/>
    <w:rsid w:val="00A86C84"/>
    <w:rsid w:val="00AA4E2C"/>
    <w:rsid w:val="00AA5BD3"/>
    <w:rsid w:val="00AA706B"/>
    <w:rsid w:val="00AB09E1"/>
    <w:rsid w:val="00AB3572"/>
    <w:rsid w:val="00AB4702"/>
    <w:rsid w:val="00AB50E0"/>
    <w:rsid w:val="00AD239B"/>
    <w:rsid w:val="00AD23D8"/>
    <w:rsid w:val="00AD29B5"/>
    <w:rsid w:val="00AD77E7"/>
    <w:rsid w:val="00AE5E88"/>
    <w:rsid w:val="00AE6295"/>
    <w:rsid w:val="00AF4623"/>
    <w:rsid w:val="00AF75FC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71DA0"/>
    <w:rsid w:val="00B753EC"/>
    <w:rsid w:val="00B76602"/>
    <w:rsid w:val="00B80938"/>
    <w:rsid w:val="00B81FF7"/>
    <w:rsid w:val="00B83CBE"/>
    <w:rsid w:val="00B8650B"/>
    <w:rsid w:val="00B91EF8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7FB1"/>
    <w:rsid w:val="00C22A31"/>
    <w:rsid w:val="00C26137"/>
    <w:rsid w:val="00C26832"/>
    <w:rsid w:val="00C3251B"/>
    <w:rsid w:val="00C331C0"/>
    <w:rsid w:val="00C3700A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71CD"/>
    <w:rsid w:val="00CD0985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A122E"/>
    <w:rsid w:val="00DA564E"/>
    <w:rsid w:val="00DA584D"/>
    <w:rsid w:val="00DB0D1A"/>
    <w:rsid w:val="00DC21C2"/>
    <w:rsid w:val="00DC3796"/>
    <w:rsid w:val="00DC3FD2"/>
    <w:rsid w:val="00DD02F8"/>
    <w:rsid w:val="00DD2D1C"/>
    <w:rsid w:val="00DD3187"/>
    <w:rsid w:val="00DD7FE4"/>
    <w:rsid w:val="00DE066C"/>
    <w:rsid w:val="00DF4C01"/>
    <w:rsid w:val="00E00105"/>
    <w:rsid w:val="00E02DDD"/>
    <w:rsid w:val="00E13049"/>
    <w:rsid w:val="00E22BDE"/>
    <w:rsid w:val="00E35758"/>
    <w:rsid w:val="00E35AC2"/>
    <w:rsid w:val="00E3741A"/>
    <w:rsid w:val="00E42886"/>
    <w:rsid w:val="00E42C1B"/>
    <w:rsid w:val="00E4629C"/>
    <w:rsid w:val="00E463C0"/>
    <w:rsid w:val="00E47982"/>
    <w:rsid w:val="00E50925"/>
    <w:rsid w:val="00E54D72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C272C"/>
    <w:rsid w:val="00EC794D"/>
    <w:rsid w:val="00ED117A"/>
    <w:rsid w:val="00ED5BB9"/>
    <w:rsid w:val="00ED6881"/>
    <w:rsid w:val="00EE78A3"/>
    <w:rsid w:val="00EF0010"/>
    <w:rsid w:val="00EF19B1"/>
    <w:rsid w:val="00F11E40"/>
    <w:rsid w:val="00F12226"/>
    <w:rsid w:val="00F1390E"/>
    <w:rsid w:val="00F1490E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6436D"/>
    <w:rsid w:val="00F71714"/>
    <w:rsid w:val="00F92005"/>
    <w:rsid w:val="00F930E6"/>
    <w:rsid w:val="00F9483E"/>
    <w:rsid w:val="00FA2C75"/>
    <w:rsid w:val="00FA7391"/>
    <w:rsid w:val="00FC1247"/>
    <w:rsid w:val="00FC44D6"/>
    <w:rsid w:val="00FC46FF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document/redirect/408992634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A783-8C83-4DBB-9A97-2760FA46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1296</Words>
  <Characters>9921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6</cp:revision>
  <cp:lastPrinted>2024-12-12T10:06:00Z</cp:lastPrinted>
  <dcterms:created xsi:type="dcterms:W3CDTF">2024-12-12T09:11:00Z</dcterms:created>
  <dcterms:modified xsi:type="dcterms:W3CDTF">2024-12-16T05:21:00Z</dcterms:modified>
</cp:coreProperties>
</file>